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6CA20" w14:textId="77777777" w:rsidR="00B33D2E" w:rsidRDefault="00B33D2E"/>
    <w:p w14:paraId="70ECCB0C" w14:textId="3DD1C54C" w:rsidR="00BC23FA" w:rsidRPr="007D0787" w:rsidRDefault="00BC23FA" w:rsidP="00BC23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color w:val="0E2841" w:themeColor="text2"/>
          <w:sz w:val="28"/>
          <w:szCs w:val="28"/>
        </w:rPr>
      </w:pPr>
      <w:r w:rsidRPr="007D0787">
        <w:rPr>
          <w:rFonts w:cstheme="minorHAnsi"/>
          <w:b/>
          <w:bCs/>
          <w:color w:val="0E2841" w:themeColor="text2"/>
          <w:sz w:val="28"/>
          <w:szCs w:val="28"/>
        </w:rPr>
        <w:t>GUÍA TÉCNICA PARA PROFESIONALES SANITARIOS</w:t>
      </w:r>
      <w:r w:rsidRPr="007D0787">
        <w:rPr>
          <w:rFonts w:eastAsia="Calibri" w:cstheme="minorHAnsi"/>
          <w:b/>
          <w:color w:val="365F91"/>
          <w:sz w:val="28"/>
          <w:szCs w:val="28"/>
        </w:rPr>
        <w:t xml:space="preserve"> </w:t>
      </w:r>
    </w:p>
    <w:p w14:paraId="4736892A" w14:textId="1E8D259E" w:rsidR="00BC23FA" w:rsidRDefault="00BC23FA" w:rsidP="00BC23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color w:val="0E2841" w:themeColor="text2"/>
          <w:sz w:val="28"/>
          <w:szCs w:val="28"/>
        </w:rPr>
      </w:pPr>
      <w:r w:rsidRPr="007D0787">
        <w:rPr>
          <w:rFonts w:cstheme="minorHAnsi"/>
          <w:b/>
          <w:bCs/>
          <w:color w:val="0E2841" w:themeColor="text2"/>
          <w:sz w:val="28"/>
          <w:szCs w:val="28"/>
        </w:rPr>
        <w:t xml:space="preserve">VACUNA NEUMOCÓCICA CONJUGADA </w:t>
      </w:r>
      <w:r>
        <w:rPr>
          <w:rFonts w:cstheme="minorHAnsi"/>
          <w:b/>
          <w:bCs/>
          <w:color w:val="0E2841" w:themeColor="text2"/>
          <w:sz w:val="28"/>
          <w:szCs w:val="28"/>
        </w:rPr>
        <w:t>20</w:t>
      </w:r>
      <w:r w:rsidRPr="007D0787">
        <w:rPr>
          <w:rFonts w:cstheme="minorHAnsi"/>
          <w:b/>
          <w:bCs/>
          <w:color w:val="0E2841" w:themeColor="text2"/>
          <w:sz w:val="28"/>
          <w:szCs w:val="28"/>
        </w:rPr>
        <w:t xml:space="preserve"> VALENTE (VNC</w:t>
      </w:r>
      <w:r>
        <w:rPr>
          <w:rFonts w:cstheme="minorHAnsi"/>
          <w:b/>
          <w:bCs/>
          <w:color w:val="0E2841" w:themeColor="text2"/>
          <w:sz w:val="28"/>
          <w:szCs w:val="28"/>
        </w:rPr>
        <w:t>20</w:t>
      </w:r>
      <w:r w:rsidRPr="007D0787">
        <w:rPr>
          <w:rFonts w:cstheme="minorHAnsi"/>
          <w:b/>
          <w:bCs/>
          <w:color w:val="0E2841" w:themeColor="text2"/>
          <w:sz w:val="28"/>
          <w:szCs w:val="28"/>
        </w:rPr>
        <w:t>)</w:t>
      </w:r>
    </w:p>
    <w:p w14:paraId="1238E933" w14:textId="1DF6C34B" w:rsidR="00BC23FA" w:rsidRPr="007D0787" w:rsidRDefault="00A56DEF" w:rsidP="00BC23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cstheme="minorHAnsi"/>
          <w:b/>
          <w:bCs/>
          <w:color w:val="0E2841" w:themeColor="text2"/>
          <w:sz w:val="28"/>
          <w:szCs w:val="28"/>
        </w:rPr>
      </w:pPr>
      <w:r>
        <w:rPr>
          <w:rFonts w:cstheme="minorHAnsi"/>
          <w:b/>
          <w:bCs/>
          <w:color w:val="0E2841" w:themeColor="text2"/>
          <w:sz w:val="28"/>
          <w:szCs w:val="28"/>
        </w:rPr>
        <w:t xml:space="preserve">Actualización </w:t>
      </w:r>
      <w:r w:rsidR="008B6A2F">
        <w:rPr>
          <w:rFonts w:cstheme="minorHAnsi"/>
          <w:b/>
          <w:bCs/>
          <w:color w:val="0E2841" w:themeColor="text2"/>
          <w:sz w:val="28"/>
          <w:szCs w:val="28"/>
        </w:rPr>
        <w:t xml:space="preserve">abril </w:t>
      </w:r>
      <w:r w:rsidR="00BC23FA">
        <w:rPr>
          <w:rFonts w:cstheme="minorHAnsi"/>
          <w:b/>
          <w:bCs/>
          <w:color w:val="0E2841" w:themeColor="text2"/>
          <w:sz w:val="28"/>
          <w:szCs w:val="28"/>
        </w:rPr>
        <w:t>202</w:t>
      </w:r>
      <w:r w:rsidR="00EA1FD5">
        <w:rPr>
          <w:rFonts w:cstheme="minorHAnsi"/>
          <w:b/>
          <w:bCs/>
          <w:color w:val="0E2841" w:themeColor="text2"/>
          <w:sz w:val="28"/>
          <w:szCs w:val="28"/>
        </w:rPr>
        <w:t>4</w:t>
      </w:r>
    </w:p>
    <w:p w14:paraId="49C5E963" w14:textId="0A78F4B2" w:rsidR="00BC23FA" w:rsidRDefault="00BC23FA"/>
    <w:p w14:paraId="6831B1AB" w14:textId="77777777" w:rsidR="00BC23FA" w:rsidRPr="00BC23FA" w:rsidRDefault="00BC23FA" w:rsidP="00BC23FA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BC23FA">
        <w:rPr>
          <w:b/>
          <w:bCs/>
          <w:color w:val="0E2841" w:themeColor="text2"/>
          <w:sz w:val="24"/>
          <w:szCs w:val="24"/>
        </w:rPr>
        <w:t>VACUNA DISPONIBLE</w:t>
      </w:r>
    </w:p>
    <w:p w14:paraId="5579E30F" w14:textId="1137FD3C" w:rsidR="00BC23FA" w:rsidRDefault="00BC23FA" w:rsidP="00BC23FA">
      <w:pPr>
        <w:jc w:val="both"/>
      </w:pPr>
      <w:r>
        <w:t xml:space="preserve">La </w:t>
      </w:r>
      <w:r w:rsidRPr="004F3D2C">
        <w:t xml:space="preserve">vacuna neumocócica conjugada de 20 serotipos </w:t>
      </w:r>
      <w:r>
        <w:t xml:space="preserve">(VNC20) que se </w:t>
      </w:r>
      <w:r w:rsidRPr="00B11D8B">
        <w:t xml:space="preserve">utilizará en el calendario </w:t>
      </w:r>
      <w:r>
        <w:t xml:space="preserve">y en los grupos de riesgo </w:t>
      </w:r>
      <w:r w:rsidRPr="00B11D8B">
        <w:t xml:space="preserve">es </w:t>
      </w:r>
      <w:r w:rsidRPr="00B11D8B">
        <w:rPr>
          <w:b/>
          <w:bCs/>
        </w:rPr>
        <w:t>A</w:t>
      </w:r>
      <w:r w:rsidR="007A1C3E">
        <w:rPr>
          <w:b/>
          <w:bCs/>
        </w:rPr>
        <w:t>PEXXNAR</w:t>
      </w:r>
      <w:bookmarkStart w:id="0" w:name="_Hlk161228024"/>
      <w:r w:rsidRPr="00B86DBE">
        <w:rPr>
          <w:b/>
          <w:bCs/>
        </w:rPr>
        <w:t>®</w:t>
      </w:r>
      <w:bookmarkEnd w:id="0"/>
      <w:r w:rsidR="00974FA2">
        <w:rPr>
          <w:b/>
          <w:bCs/>
        </w:rPr>
        <w:t>/PREVENAR 20</w:t>
      </w:r>
      <w:r w:rsidR="00974FA2" w:rsidRPr="00B86DBE">
        <w:rPr>
          <w:b/>
          <w:bCs/>
        </w:rPr>
        <w:t>®</w:t>
      </w:r>
      <w:r w:rsidRPr="00B86DBE">
        <w:t>, de Pfizer.</w:t>
      </w:r>
    </w:p>
    <w:p w14:paraId="210E3D70" w14:textId="516718AF" w:rsidR="00BC23FA" w:rsidRPr="00015E22" w:rsidRDefault="00974FA2" w:rsidP="00015E22">
      <w:pPr>
        <w:jc w:val="both"/>
      </w:pPr>
      <w:r>
        <w:t>Está indicada para i</w:t>
      </w:r>
      <w:r w:rsidR="00EA1FD5">
        <w:t xml:space="preserve">nmunización activa para la prevención de la enfermedad invasiva, la neumonía y la otitis media aguda causadas por </w:t>
      </w:r>
      <w:r w:rsidR="00EA1FD5" w:rsidRPr="009E2E14">
        <w:rPr>
          <w:i/>
          <w:iCs/>
        </w:rPr>
        <w:t>Streptococcus pneumoniae</w:t>
      </w:r>
      <w:r w:rsidR="00EA1FD5">
        <w:t xml:space="preserve"> en lactantes, niños y adolescentes desde las 6 semanas hasta los menores de 18 </w:t>
      </w:r>
      <w:proofErr w:type="gramStart"/>
      <w:r w:rsidR="00EA1FD5">
        <w:t>años de edad</w:t>
      </w:r>
      <w:proofErr w:type="gramEnd"/>
      <w:r>
        <w:t xml:space="preserve"> </w:t>
      </w:r>
      <w:r w:rsidRPr="003821D0">
        <w:t>(actualización marzo 2024)</w:t>
      </w:r>
      <w:r w:rsidR="00015E22" w:rsidRPr="003821D0">
        <w:t>. Además</w:t>
      </w:r>
      <w:r w:rsidR="00015E22">
        <w:t>, e</w:t>
      </w:r>
      <w:r w:rsidR="00BC23FA">
        <w:t>stá indicada para la i</w:t>
      </w:r>
      <w:r w:rsidR="00BC23FA" w:rsidRPr="00BC23FA">
        <w:t xml:space="preserve">nmunización activa para la prevención de la enfermedad invasiva y la neumonía causadas por </w:t>
      </w:r>
      <w:r w:rsidR="00BC23FA" w:rsidRPr="009E2E14">
        <w:rPr>
          <w:i/>
          <w:iCs/>
        </w:rPr>
        <w:t>Streptococcus pneumoniae</w:t>
      </w:r>
      <w:r w:rsidR="00BC23FA" w:rsidRPr="00BC23FA">
        <w:t xml:space="preserve"> en </w:t>
      </w:r>
      <w:r w:rsidR="00BC23FA" w:rsidRPr="00015E22">
        <w:t xml:space="preserve">individuos de 18 </w:t>
      </w:r>
      <w:proofErr w:type="gramStart"/>
      <w:r w:rsidR="00BC23FA" w:rsidRPr="00015E22">
        <w:t>años de</w:t>
      </w:r>
      <w:r w:rsidR="00015E22">
        <w:t xml:space="preserve"> </w:t>
      </w:r>
      <w:r w:rsidR="00BC23FA" w:rsidRPr="00015E22">
        <w:t>edad</w:t>
      </w:r>
      <w:proofErr w:type="gramEnd"/>
      <w:r w:rsidR="00BC23FA" w:rsidRPr="00015E22">
        <w:t xml:space="preserve"> y mayores.</w:t>
      </w:r>
    </w:p>
    <w:p w14:paraId="7B91B831" w14:textId="55DA79AA" w:rsidR="00BC23FA" w:rsidRDefault="00EF4628" w:rsidP="00BC23FA">
      <w:hyperlink r:id="rId10" w:history="1">
        <w:r w:rsidR="00BC23FA" w:rsidRPr="00BC23FA">
          <w:rPr>
            <w:rStyle w:val="Hipervnculo"/>
          </w:rPr>
          <w:t>Consultar la ficha técnica en CIMA AEMPS</w:t>
        </w:r>
      </w:hyperlink>
      <w:r w:rsidR="00BC23FA">
        <w:t xml:space="preserve"> </w:t>
      </w:r>
    </w:p>
    <w:p w14:paraId="78C1D989" w14:textId="77777777" w:rsidR="009E2E14" w:rsidRDefault="009E2E14" w:rsidP="009E2E14">
      <w:pPr>
        <w:pStyle w:val="Prrafodelista"/>
        <w:ind w:left="360"/>
        <w:jc w:val="both"/>
        <w:rPr>
          <w:b/>
          <w:bCs/>
          <w:color w:val="0E2841" w:themeColor="text2"/>
          <w:sz w:val="24"/>
          <w:szCs w:val="24"/>
        </w:rPr>
      </w:pPr>
    </w:p>
    <w:p w14:paraId="5FB1DB24" w14:textId="27A17994" w:rsidR="00BC23FA" w:rsidRPr="00BC23FA" w:rsidRDefault="00BC23FA" w:rsidP="00BC23FA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BC23FA">
        <w:rPr>
          <w:b/>
          <w:bCs/>
          <w:color w:val="0E2841" w:themeColor="text2"/>
          <w:sz w:val="24"/>
          <w:szCs w:val="24"/>
        </w:rPr>
        <w:t xml:space="preserve">COMPOSICIÓN </w:t>
      </w:r>
    </w:p>
    <w:p w14:paraId="40088C8B" w14:textId="750BC5D8" w:rsidR="00BC23FA" w:rsidRDefault="00BC23FA" w:rsidP="00BC23FA">
      <w:pPr>
        <w:jc w:val="both"/>
      </w:pPr>
      <w:r w:rsidRPr="00B86DBE">
        <w:t xml:space="preserve">Contiene 20 antígenos polisacáridos capsulares purificados del </w:t>
      </w:r>
      <w:r w:rsidRPr="009B646A">
        <w:rPr>
          <w:i/>
          <w:iCs/>
        </w:rPr>
        <w:t>Streptoccocus pneumoniae</w:t>
      </w:r>
      <w:r w:rsidRPr="00B86DBE">
        <w:t xml:space="preserve"> de los serotipos (1, 3, 4, 5, 6A, 6B, 7F, </w:t>
      </w:r>
      <w:r w:rsidRPr="00B86DBE">
        <w:rPr>
          <w:b/>
          <w:bCs/>
        </w:rPr>
        <w:t>8</w:t>
      </w:r>
      <w:r w:rsidRPr="00B86DBE">
        <w:t xml:space="preserve">, 9V, </w:t>
      </w:r>
      <w:r w:rsidRPr="00B86DBE">
        <w:rPr>
          <w:b/>
          <w:bCs/>
        </w:rPr>
        <w:t>10A</w:t>
      </w:r>
      <w:r w:rsidRPr="00B86DBE">
        <w:t xml:space="preserve">, </w:t>
      </w:r>
      <w:r w:rsidRPr="00B86DBE">
        <w:rPr>
          <w:b/>
          <w:bCs/>
        </w:rPr>
        <w:t>11A</w:t>
      </w:r>
      <w:r w:rsidRPr="00B86DBE">
        <w:t xml:space="preserve">, </w:t>
      </w:r>
      <w:r w:rsidRPr="00B86DBE">
        <w:rPr>
          <w:b/>
          <w:bCs/>
        </w:rPr>
        <w:t>12F</w:t>
      </w:r>
      <w:r w:rsidRPr="00B86DBE">
        <w:t xml:space="preserve">, 14, </w:t>
      </w:r>
      <w:r w:rsidRPr="00B86DBE">
        <w:rPr>
          <w:b/>
          <w:bCs/>
        </w:rPr>
        <w:t>15B</w:t>
      </w:r>
      <w:r w:rsidRPr="00B86DBE">
        <w:t xml:space="preserve">, 18C, 19A, 19F, </w:t>
      </w:r>
      <w:r w:rsidRPr="00B86DBE">
        <w:rPr>
          <w:b/>
          <w:bCs/>
        </w:rPr>
        <w:t>22F</w:t>
      </w:r>
      <w:r w:rsidRPr="00B86DBE">
        <w:t xml:space="preserve">, 23F y </w:t>
      </w:r>
      <w:r w:rsidRPr="00B86DBE">
        <w:rPr>
          <w:b/>
          <w:bCs/>
        </w:rPr>
        <w:t>33F</w:t>
      </w:r>
      <w:r w:rsidRPr="00B86DBE">
        <w:t>).</w:t>
      </w:r>
      <w:r>
        <w:t xml:space="preserve"> </w:t>
      </w:r>
    </w:p>
    <w:p w14:paraId="23047F06" w14:textId="4822C762" w:rsidR="00BC23FA" w:rsidRDefault="00BC23FA" w:rsidP="00BC23FA">
      <w:pPr>
        <w:jc w:val="both"/>
      </w:pPr>
      <w:r w:rsidRPr="00DD7533">
        <w:t xml:space="preserve">Cada dosis de 0,5 ml contiene 2,2 microgramos de cada polisacárido capsular, excepto de polisacárido del serotipo 6B que contiene 4,4 microgramos conjugados con la proteína transportadora CRM197 </w:t>
      </w:r>
      <w:r w:rsidR="00CB7A28">
        <w:t>(</w:t>
      </w:r>
      <w:r w:rsidR="00CB7A28" w:rsidRPr="00CB7A28">
        <w:t>mutante atóxico de toxina diftérica</w:t>
      </w:r>
      <w:r w:rsidR="00CB7A28">
        <w:t>)</w:t>
      </w:r>
      <w:r w:rsidR="00CB7A28" w:rsidRPr="00CB7A28">
        <w:t xml:space="preserve"> </w:t>
      </w:r>
      <w:r w:rsidRPr="00DD7533">
        <w:t xml:space="preserve">51 </w:t>
      </w:r>
      <w:proofErr w:type="gramStart"/>
      <w:r w:rsidRPr="00DD7533">
        <w:t>microgramos</w:t>
      </w:r>
      <w:r w:rsidR="00CB7A28">
        <w:t xml:space="preserve"> </w:t>
      </w:r>
      <w:r w:rsidRPr="00DD7533">
        <w:t xml:space="preserve"> y</w:t>
      </w:r>
      <w:proofErr w:type="gramEnd"/>
      <w:r w:rsidRPr="00DD7533">
        <w:t xml:space="preserve"> adsorbidos en fosfato de aluminio (0,125 mg de aluminio). </w:t>
      </w:r>
    </w:p>
    <w:p w14:paraId="7E89CA70" w14:textId="77777777" w:rsidR="00BC23FA" w:rsidRDefault="00BC23FA" w:rsidP="00BC23FA">
      <w:pPr>
        <w:jc w:val="both"/>
      </w:pPr>
      <w:r w:rsidRPr="00DD7533">
        <w:t>Dentro del listado de excipientes constan: cloruro de sodio, ácido succínico, polisorbato 80 y agua para preparaciones inyectables.</w:t>
      </w:r>
    </w:p>
    <w:p w14:paraId="438DBCE5" w14:textId="77777777" w:rsidR="009E2E14" w:rsidRDefault="009E2E14" w:rsidP="009E2E14">
      <w:pPr>
        <w:pStyle w:val="Prrafodelista"/>
        <w:ind w:left="360"/>
        <w:jc w:val="both"/>
        <w:rPr>
          <w:b/>
          <w:bCs/>
          <w:color w:val="0E2841" w:themeColor="text2"/>
          <w:sz w:val="24"/>
          <w:szCs w:val="24"/>
        </w:rPr>
      </w:pPr>
    </w:p>
    <w:p w14:paraId="57B90C64" w14:textId="3FC35481" w:rsidR="00BC23FA" w:rsidRPr="00BC23FA" w:rsidRDefault="00BC23FA" w:rsidP="00BC23FA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BC23FA">
        <w:rPr>
          <w:b/>
          <w:bCs/>
          <w:color w:val="0E2841" w:themeColor="text2"/>
          <w:sz w:val="24"/>
          <w:szCs w:val="24"/>
        </w:rPr>
        <w:t>CONSERVACIÓN</w:t>
      </w:r>
    </w:p>
    <w:p w14:paraId="711D2CD8" w14:textId="77777777" w:rsidR="00BC23FA" w:rsidRDefault="00BC23FA" w:rsidP="00BC23FA">
      <w:pPr>
        <w:jc w:val="both"/>
      </w:pPr>
      <w:r w:rsidRPr="001B773B">
        <w:t>Se almacenará entre +2 y +8º</w:t>
      </w:r>
      <w:r>
        <w:t xml:space="preserve"> </w:t>
      </w:r>
      <w:r w:rsidRPr="001B773B">
        <w:t>C y no debe congelarse</w:t>
      </w:r>
      <w:r>
        <w:t>.</w:t>
      </w:r>
    </w:p>
    <w:p w14:paraId="074E567B" w14:textId="77777777" w:rsidR="00BC23FA" w:rsidRDefault="00BC23FA" w:rsidP="00BC23FA">
      <w:pPr>
        <w:jc w:val="both"/>
      </w:pPr>
      <w:r>
        <w:t xml:space="preserve">Desde un punto de vista microbiológico, una vez sacada de la nevera, la vacuna se debe utilizar inmediatamente. </w:t>
      </w:r>
    </w:p>
    <w:p w14:paraId="63585179" w14:textId="77777777" w:rsidR="00BC23FA" w:rsidRDefault="00BC23FA" w:rsidP="00BC23FA">
      <w:pPr>
        <w:jc w:val="both"/>
      </w:pPr>
      <w:r>
        <w:t xml:space="preserve">Los datos de estabilidad indican que la vacuna es estable durante 96 horas cuando se conserva a temperaturas de +8 °C a +25 °C o 72 horas cuando se conserva a temperaturas de 0 °C a +2 °C. Al final de estos periodos de tiempo, </w:t>
      </w:r>
      <w:r w:rsidRPr="00F42778">
        <w:t>Apexxnar</w:t>
      </w:r>
      <w:r w:rsidRPr="00F42778">
        <w:rPr>
          <w:rFonts w:cstheme="minorHAnsi"/>
        </w:rPr>
        <w:t>®</w:t>
      </w:r>
      <w:r w:rsidRPr="00F42778">
        <w:t xml:space="preserve"> </w:t>
      </w:r>
      <w:r>
        <w:t>se debe utilizar o desechar. Estos datos están destinados a orientar a los profesionales sanitarios en caso de variaciones temporales de temperatura únicamente.</w:t>
      </w:r>
    </w:p>
    <w:p w14:paraId="1596DD6B" w14:textId="77777777" w:rsidR="00BC23FA" w:rsidRDefault="00BC23FA" w:rsidP="00BC23FA"/>
    <w:p w14:paraId="2C35D0D0" w14:textId="77777777" w:rsidR="00BC23FA" w:rsidRPr="007A1C3E" w:rsidRDefault="00BC23FA" w:rsidP="007A1C3E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7A1C3E">
        <w:rPr>
          <w:b/>
          <w:bCs/>
          <w:color w:val="0E2841" w:themeColor="text2"/>
          <w:sz w:val="24"/>
          <w:szCs w:val="24"/>
        </w:rPr>
        <w:t xml:space="preserve">PRESENTACIÓN </w:t>
      </w:r>
    </w:p>
    <w:p w14:paraId="27988FEF" w14:textId="77777777" w:rsidR="00BC23FA" w:rsidRDefault="00BC23FA" w:rsidP="00BC23FA">
      <w:pPr>
        <w:jc w:val="both"/>
      </w:pPr>
      <w:r>
        <w:t>Suspensión inyectable, en jeringa precargada (0,5 ml)</w:t>
      </w:r>
    </w:p>
    <w:p w14:paraId="22D68B88" w14:textId="77777777" w:rsidR="00BC23FA" w:rsidRPr="00274A04" w:rsidRDefault="00BC23FA" w:rsidP="00BC23FA">
      <w:pPr>
        <w:jc w:val="both"/>
      </w:pPr>
      <w:r w:rsidRPr="00274A04">
        <w:t>Monodosis/envases multidosis</w:t>
      </w:r>
      <w:r>
        <w:t xml:space="preserve"> de 10 dosis</w:t>
      </w:r>
      <w:r w:rsidRPr="00274A04">
        <w:t>,</w:t>
      </w:r>
      <w:r>
        <w:t xml:space="preserve"> con jeringa precargada.</w:t>
      </w:r>
    </w:p>
    <w:p w14:paraId="1BB3B3BB" w14:textId="77777777" w:rsidR="00BC23FA" w:rsidRPr="00F42778" w:rsidRDefault="00BC23FA" w:rsidP="00BC23FA">
      <w:pPr>
        <w:jc w:val="both"/>
      </w:pPr>
      <w:r>
        <w:t xml:space="preserve">Se utilizarán </w:t>
      </w:r>
      <w:r w:rsidRPr="00274A04">
        <w:t>agujas de 25 mm de longitud con mecanismo de protección integrado</w:t>
      </w:r>
      <w:r>
        <w:t>.</w:t>
      </w:r>
      <w:r w:rsidRPr="00274A04">
        <w:t xml:space="preserve"> </w:t>
      </w:r>
    </w:p>
    <w:p w14:paraId="5802BFCF" w14:textId="77777777" w:rsidR="00BC23FA" w:rsidRDefault="00BC23FA" w:rsidP="00BC23FA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712F831F" wp14:editId="46C636FF">
            <wp:extent cx="1936750" cy="1497845"/>
            <wp:effectExtent l="0" t="0" r="6350" b="7620"/>
            <wp:docPr id="6" name="Imagen 6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7654" cy="151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D389C7E" wp14:editId="3FD86F08">
            <wp:extent cx="2463165" cy="1017905"/>
            <wp:effectExtent l="0" t="0" r="0" b="0"/>
            <wp:docPr id="17" name="Imagen 17" descr="Imagen que contiene interior, cepillo de dientes, contenedor, lava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interior, cepillo de dientes, contenedor, lavab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042D">
        <w:rPr>
          <w:noProof/>
        </w:rPr>
        <w:t xml:space="preserve"> </w:t>
      </w:r>
    </w:p>
    <w:p w14:paraId="7C854ED9" w14:textId="77777777" w:rsidR="00BC23FA" w:rsidRDefault="00BC23FA" w:rsidP="00BC23FA">
      <w:pPr>
        <w:rPr>
          <w:noProof/>
        </w:rPr>
      </w:pPr>
    </w:p>
    <w:p w14:paraId="212ED531" w14:textId="77777777" w:rsidR="00BC23FA" w:rsidRDefault="00BC23FA" w:rsidP="00BC23FA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6D2856E7" wp14:editId="3F9AC352">
            <wp:extent cx="2603500" cy="1320714"/>
            <wp:effectExtent l="0" t="0" r="6350" b="0"/>
            <wp:docPr id="16" name="Imagen 16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19" cy="133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F43EDBE" wp14:editId="08F5A343">
            <wp:extent cx="1312316" cy="2024859"/>
            <wp:effectExtent l="5715" t="0" r="8255" b="8255"/>
            <wp:docPr id="18" name="Imagen 18" descr="Botella de plástico sobr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Botella de plástico sobr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3101" cy="20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5841B" w14:textId="77777777" w:rsidR="00BC23FA" w:rsidRDefault="00BC23FA" w:rsidP="00BC23FA">
      <w:pPr>
        <w:jc w:val="both"/>
        <w:rPr>
          <w:b/>
          <w:bCs/>
          <w:color w:val="0E2841" w:themeColor="text2"/>
          <w:sz w:val="24"/>
          <w:szCs w:val="24"/>
        </w:rPr>
      </w:pPr>
    </w:p>
    <w:p w14:paraId="7A99C856" w14:textId="77777777" w:rsidR="00BC23FA" w:rsidRPr="00943E0E" w:rsidRDefault="00BC23FA" w:rsidP="00943E0E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943E0E">
        <w:rPr>
          <w:b/>
          <w:bCs/>
          <w:color w:val="0E2841" w:themeColor="text2"/>
          <w:sz w:val="24"/>
          <w:szCs w:val="24"/>
        </w:rPr>
        <w:t>PREPARACIÓN</w:t>
      </w:r>
      <w:r>
        <w:rPr>
          <w:noProof/>
          <w:lang w:eastAsia="es-ES"/>
        </w:rPr>
        <w:drawing>
          <wp:inline distT="0" distB="0" distL="0" distR="0" wp14:anchorId="2E0D0D17" wp14:editId="45BC05DE">
            <wp:extent cx="4710988" cy="1374407"/>
            <wp:effectExtent l="0" t="0" r="0" b="0"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1677" cy="13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84D9" w14:textId="77777777" w:rsidR="00BC23FA" w:rsidRDefault="00BC23FA" w:rsidP="00BC23FA">
      <w:pPr>
        <w:jc w:val="both"/>
        <w:rPr>
          <w:b/>
          <w:bCs/>
          <w:color w:val="0E2841" w:themeColor="text2"/>
          <w:sz w:val="24"/>
          <w:szCs w:val="24"/>
        </w:rPr>
      </w:pPr>
      <w:r w:rsidRPr="00797D10">
        <w:rPr>
          <w:noProof/>
          <w:lang w:eastAsia="es-ES"/>
        </w:rPr>
        <w:drawing>
          <wp:inline distT="0" distB="0" distL="0" distR="0" wp14:anchorId="5939FFAC" wp14:editId="21124426">
            <wp:extent cx="5058485" cy="1625092"/>
            <wp:effectExtent l="0" t="0" r="8890" b="0"/>
            <wp:docPr id="22" name="Imagen 2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, Cart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790" cy="162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718A" w14:textId="77777777" w:rsidR="00BC23FA" w:rsidRDefault="00BC23FA" w:rsidP="00BC23FA">
      <w:pPr>
        <w:jc w:val="both"/>
        <w:rPr>
          <w:b/>
          <w:bCs/>
          <w:color w:val="0E2841" w:themeColor="text2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54CD3767" wp14:editId="5FD33CD6">
            <wp:extent cx="5400040" cy="1842770"/>
            <wp:effectExtent l="0" t="0" r="0" b="5080"/>
            <wp:docPr id="23" name="Imagen 2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0154" w14:textId="77777777" w:rsidR="009E2E14" w:rsidRDefault="009E2E14" w:rsidP="009E2E14">
      <w:pPr>
        <w:pStyle w:val="Prrafodelista"/>
        <w:ind w:left="360"/>
        <w:jc w:val="both"/>
        <w:rPr>
          <w:b/>
          <w:bCs/>
          <w:color w:val="0E2841" w:themeColor="text2"/>
          <w:sz w:val="24"/>
          <w:szCs w:val="24"/>
        </w:rPr>
      </w:pPr>
    </w:p>
    <w:p w14:paraId="1F30ACF4" w14:textId="2F94637A" w:rsidR="00BC23FA" w:rsidRPr="00943E0E" w:rsidRDefault="00BC23FA" w:rsidP="00943E0E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943E0E">
        <w:rPr>
          <w:b/>
          <w:bCs/>
          <w:color w:val="0E2841" w:themeColor="text2"/>
          <w:sz w:val="24"/>
          <w:szCs w:val="24"/>
        </w:rPr>
        <w:t>VIA Y LUGAR DE ADMINISTRACIÓN</w:t>
      </w:r>
    </w:p>
    <w:p w14:paraId="58F389A2" w14:textId="29249A2A" w:rsidR="008175FC" w:rsidRPr="008175FC" w:rsidRDefault="00BC23FA" w:rsidP="008175FC">
      <w:pPr>
        <w:jc w:val="both"/>
      </w:pPr>
      <w:r w:rsidRPr="008175FC">
        <w:t>Vía intramuscular, en el músculo deltoides.</w:t>
      </w:r>
      <w:r w:rsidR="008175FC" w:rsidRPr="008175FC">
        <w:t xml:space="preserve"> en adultos y en lactantes, </w:t>
      </w:r>
      <w:r w:rsidR="008175FC">
        <w:t>en la</w:t>
      </w:r>
      <w:r w:rsidR="008175FC" w:rsidRPr="008175FC">
        <w:t xml:space="preserve"> cara anterolateral del muslo</w:t>
      </w:r>
      <w:r w:rsidR="008175FC">
        <w:t xml:space="preserve"> </w:t>
      </w:r>
      <w:r w:rsidR="008175FC" w:rsidRPr="008175FC">
        <w:t>(musculo vasto lateral externo)</w:t>
      </w:r>
    </w:p>
    <w:p w14:paraId="2967BCBF" w14:textId="11F403D1" w:rsidR="00BC23FA" w:rsidRPr="006F6C0C" w:rsidRDefault="00BC23FA" w:rsidP="00BC23FA"/>
    <w:p w14:paraId="0BC0B665" w14:textId="27E8E1D6" w:rsidR="00BC23FA" w:rsidRPr="00943E0E" w:rsidRDefault="00BC23FA" w:rsidP="00943E0E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943E0E">
        <w:rPr>
          <w:b/>
          <w:bCs/>
          <w:color w:val="0E2841" w:themeColor="text2"/>
          <w:sz w:val="24"/>
          <w:szCs w:val="24"/>
        </w:rPr>
        <w:t>PAUTA</w:t>
      </w:r>
    </w:p>
    <w:p w14:paraId="7B21ED58" w14:textId="35526AF7" w:rsidR="00BC23FA" w:rsidRDefault="00BC23FA" w:rsidP="00BC23FA">
      <w:r w:rsidRPr="008F36BB">
        <w:t>Una sola dosis,</w:t>
      </w:r>
      <w:r>
        <w:t xml:space="preserve"> excepto en TPH (3 dosis)</w:t>
      </w:r>
      <w:r w:rsidR="00AF4E66">
        <w:t xml:space="preserve"> </w:t>
      </w:r>
      <w:r w:rsidR="00AF4E66" w:rsidRPr="009E2E14">
        <w:t>y en niños de riesgo vacunados en el primer año de vida.</w:t>
      </w:r>
    </w:p>
    <w:p w14:paraId="0643CE1F" w14:textId="77777777" w:rsidR="00BC23FA" w:rsidRDefault="00BC23FA" w:rsidP="00BC23FA">
      <w:pPr>
        <w:jc w:val="both"/>
      </w:pPr>
    </w:p>
    <w:p w14:paraId="72471C87" w14:textId="77777777" w:rsidR="00BC23FA" w:rsidRPr="00943E0E" w:rsidRDefault="00BC23FA" w:rsidP="00943E0E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943E0E">
        <w:rPr>
          <w:b/>
          <w:bCs/>
          <w:color w:val="0E2841" w:themeColor="text2"/>
          <w:sz w:val="24"/>
          <w:szCs w:val="24"/>
        </w:rPr>
        <w:t>COADMINISTRACIÓN</w:t>
      </w:r>
    </w:p>
    <w:p w14:paraId="2D1E59C2" w14:textId="77777777" w:rsidR="00BC23FA" w:rsidRDefault="00BC23FA" w:rsidP="00BC23FA">
      <w:pPr>
        <w:jc w:val="both"/>
      </w:pPr>
      <w:r>
        <w:t xml:space="preserve">Teniendo en cuenta que se trata de una vacuna inactivada, es posible coadministrar esta </w:t>
      </w:r>
      <w:r w:rsidRPr="00B86DBE">
        <w:t xml:space="preserve">vacuna con otras </w:t>
      </w:r>
      <w:r>
        <w:rPr>
          <w:rFonts w:ascii="Calibri" w:eastAsia="Calibri" w:hAnsi="Calibri"/>
        </w:rPr>
        <w:t>vacunas i</w:t>
      </w:r>
      <w:r w:rsidRPr="00B86DBE">
        <w:rPr>
          <w:rFonts w:ascii="Calibri" w:eastAsia="Calibri" w:hAnsi="Calibri"/>
        </w:rPr>
        <w:t>ncluidas en el calendario para toda la vida</w:t>
      </w:r>
      <w:r>
        <w:rPr>
          <w:rFonts w:ascii="Calibri" w:eastAsia="Calibri" w:hAnsi="Calibri"/>
        </w:rPr>
        <w:t xml:space="preserve">, </w:t>
      </w:r>
      <w:r w:rsidRPr="008F36BB">
        <w:t>como gripe, COVID-19 o herpes zóster, en lugares anatómicos distintos. Es importante determinar/registrar la extremidad en la que se administra cada vacuna para identificar posibles reacciones adversas.</w:t>
      </w:r>
      <w:r>
        <w:t xml:space="preserve"> </w:t>
      </w:r>
    </w:p>
    <w:p w14:paraId="5FDC09D5" w14:textId="77777777" w:rsidR="009E2E14" w:rsidRDefault="009E2E14" w:rsidP="009E2E14">
      <w:pPr>
        <w:pStyle w:val="Prrafodelista"/>
        <w:ind w:left="360"/>
        <w:jc w:val="both"/>
        <w:rPr>
          <w:b/>
          <w:bCs/>
          <w:color w:val="0E2841" w:themeColor="text2"/>
          <w:sz w:val="24"/>
          <w:szCs w:val="24"/>
        </w:rPr>
      </w:pPr>
    </w:p>
    <w:p w14:paraId="006644EB" w14:textId="5674F4B1" w:rsidR="00BC23FA" w:rsidRPr="00943E0E" w:rsidRDefault="00BC23FA" w:rsidP="00943E0E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943E0E">
        <w:rPr>
          <w:b/>
          <w:bCs/>
          <w:color w:val="0E2841" w:themeColor="text2"/>
          <w:sz w:val="24"/>
          <w:szCs w:val="24"/>
        </w:rPr>
        <w:t>CONTRAINDICACIONES Y PRECAUCIONES</w:t>
      </w:r>
    </w:p>
    <w:p w14:paraId="6E6E8BE3" w14:textId="30F143B1" w:rsidR="00BC23FA" w:rsidRDefault="00BC23FA" w:rsidP="00BC23FA">
      <w:pPr>
        <w:jc w:val="both"/>
      </w:pPr>
      <w:r>
        <w:t xml:space="preserve">La vacunación con Apexxnar® </w:t>
      </w:r>
      <w:r w:rsidR="00E30EB4">
        <w:t xml:space="preserve">/Prevenar 20® </w:t>
      </w:r>
      <w:r>
        <w:t xml:space="preserve">contraindicada en caso de hipersensibilidad al principio activo o a alguno de los excipientes anteriormente indicados. </w:t>
      </w:r>
    </w:p>
    <w:p w14:paraId="7B45E25F" w14:textId="77777777" w:rsidR="00BC23FA" w:rsidRDefault="00BC23FA" w:rsidP="00BC23FA">
      <w:pPr>
        <w:jc w:val="both"/>
      </w:pPr>
      <w:r>
        <w:t xml:space="preserve">Al ser una vacuna inactivada no está contraindicada en situaciones de inmunosupresión natural o secundaria, aunque los niveles séricos de anticuerpos puede que no alcancen valores óptimos o </w:t>
      </w:r>
      <w:r w:rsidRPr="00F42778">
        <w:t>tengan u</w:t>
      </w:r>
      <w:r>
        <w:t xml:space="preserve">na calidad reducida. </w:t>
      </w:r>
    </w:p>
    <w:p w14:paraId="1065D0D5" w14:textId="77777777" w:rsidR="009E2E14" w:rsidRDefault="009E2E14" w:rsidP="00BC23FA">
      <w:pPr>
        <w:jc w:val="both"/>
        <w:rPr>
          <w:b/>
          <w:bCs/>
          <w:color w:val="0E2841" w:themeColor="text2"/>
          <w:sz w:val="24"/>
          <w:szCs w:val="24"/>
        </w:rPr>
      </w:pPr>
    </w:p>
    <w:p w14:paraId="430A6194" w14:textId="77777777" w:rsidR="00BC23FA" w:rsidRPr="00943E0E" w:rsidRDefault="00BC23FA" w:rsidP="00943E0E">
      <w:pPr>
        <w:pStyle w:val="Prrafodelista"/>
        <w:numPr>
          <w:ilvl w:val="0"/>
          <w:numId w:val="1"/>
        </w:numPr>
        <w:jc w:val="both"/>
        <w:rPr>
          <w:b/>
          <w:bCs/>
          <w:color w:val="0E2841" w:themeColor="text2"/>
          <w:sz w:val="24"/>
          <w:szCs w:val="24"/>
        </w:rPr>
      </w:pPr>
      <w:r w:rsidRPr="00943E0E">
        <w:rPr>
          <w:b/>
          <w:bCs/>
          <w:color w:val="0E2841" w:themeColor="text2"/>
          <w:sz w:val="24"/>
          <w:szCs w:val="24"/>
        </w:rPr>
        <w:t>EFECTOS ADVERSOS</w:t>
      </w:r>
    </w:p>
    <w:p w14:paraId="708075CC" w14:textId="56DE1C22" w:rsidR="00BC23FA" w:rsidRDefault="00BC23FA" w:rsidP="009E2E14">
      <w:pPr>
        <w:jc w:val="both"/>
      </w:pPr>
      <w:r>
        <w:t>Las reacciones adversas notificadas con mayor frecuencia son dolor en el lugar de la inyección, mialgias, fatiga, cefalea y dolor articular. Son de intensidad leve o moderada y remiten pocos días después de la vacunación. Las reacciones sistémicas son infrecuentes.</w:t>
      </w:r>
    </w:p>
    <w:sectPr w:rsidR="00BC23FA" w:rsidSect="00BC23FA">
      <w:headerReference w:type="default" r:id="rId18"/>
      <w:footerReference w:type="default" r:id="rId19"/>
      <w:pgSz w:w="11906" w:h="16838"/>
      <w:pgMar w:top="851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502E3" w14:textId="77777777" w:rsidR="00BC23FA" w:rsidRDefault="00BC23FA" w:rsidP="00BC23FA">
      <w:pPr>
        <w:spacing w:after="0" w:line="240" w:lineRule="auto"/>
      </w:pPr>
      <w:r>
        <w:separator/>
      </w:r>
    </w:p>
  </w:endnote>
  <w:endnote w:type="continuationSeparator" w:id="0">
    <w:p w14:paraId="59B5F54A" w14:textId="77777777" w:rsidR="00BC23FA" w:rsidRDefault="00BC23FA" w:rsidP="00BC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1A962" w14:textId="3BEE583A" w:rsidR="00A56DEF" w:rsidRPr="000917DA" w:rsidRDefault="00A56DEF">
    <w:pPr>
      <w:pStyle w:val="Piedepgina"/>
      <w:rPr>
        <w:sz w:val="18"/>
        <w:szCs w:val="18"/>
      </w:rPr>
    </w:pPr>
    <w:r w:rsidRPr="000917DA">
      <w:rPr>
        <w:rFonts w:ascii="Arial" w:hAnsi="Arial" w:cs="Arial"/>
        <w:i/>
        <w:sz w:val="18"/>
        <w:szCs w:val="18"/>
      </w:rPr>
      <w:t>Guía técnica para profesionales sanitarios</w:t>
    </w:r>
    <w:r w:rsidR="000917DA" w:rsidRPr="000917DA">
      <w:rPr>
        <w:rFonts w:ascii="Arial" w:hAnsi="Arial" w:cs="Arial"/>
        <w:i/>
        <w:sz w:val="18"/>
        <w:szCs w:val="18"/>
      </w:rPr>
      <w:t xml:space="preserve">. </w:t>
    </w:r>
    <w:r w:rsidRPr="000917DA">
      <w:rPr>
        <w:rFonts w:ascii="Arial" w:hAnsi="Arial" w:cs="Arial"/>
        <w:i/>
        <w:sz w:val="18"/>
        <w:szCs w:val="18"/>
      </w:rPr>
      <w:t xml:space="preserve">Vacuna </w:t>
    </w:r>
    <w:r w:rsidR="000917DA" w:rsidRPr="000917DA">
      <w:rPr>
        <w:rFonts w:ascii="Arial" w:hAnsi="Arial" w:cs="Arial"/>
        <w:i/>
        <w:sz w:val="18"/>
        <w:szCs w:val="18"/>
      </w:rPr>
      <w:t>neumocócica conjugada 20 valente. A</w:t>
    </w:r>
    <w:r w:rsidRPr="000917DA">
      <w:rPr>
        <w:rFonts w:ascii="Arial" w:hAnsi="Arial" w:cs="Arial"/>
        <w:i/>
        <w:sz w:val="18"/>
        <w:szCs w:val="18"/>
      </w:rPr>
      <w:t>bril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A7B08" w14:textId="77777777" w:rsidR="00BC23FA" w:rsidRDefault="00BC23FA" w:rsidP="00BC23FA">
      <w:pPr>
        <w:spacing w:after="0" w:line="240" w:lineRule="auto"/>
      </w:pPr>
      <w:r>
        <w:separator/>
      </w:r>
    </w:p>
  </w:footnote>
  <w:footnote w:type="continuationSeparator" w:id="0">
    <w:p w14:paraId="3CDBAB45" w14:textId="77777777" w:rsidR="00BC23FA" w:rsidRDefault="00BC23FA" w:rsidP="00BC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80115" w14:textId="25C38F3D" w:rsidR="00BC23FA" w:rsidRDefault="00BC23FA">
    <w:pPr>
      <w:pStyle w:val="Encabezado"/>
    </w:pPr>
    <w:r>
      <w:rPr>
        <w:noProof/>
        <w:lang w:eastAsia="es-ES"/>
      </w:rPr>
      <w:drawing>
        <wp:inline distT="0" distB="0" distL="0" distR="0" wp14:anchorId="5A5ADA4B" wp14:editId="6A7565DB">
          <wp:extent cx="2097405" cy="981710"/>
          <wp:effectExtent l="0" t="0" r="0" b="889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40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B93CD7"/>
    <w:multiLevelType w:val="hybridMultilevel"/>
    <w:tmpl w:val="09E277A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6422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3FA"/>
    <w:rsid w:val="00015E22"/>
    <w:rsid w:val="0003002F"/>
    <w:rsid w:val="000917DA"/>
    <w:rsid w:val="0034092F"/>
    <w:rsid w:val="003821D0"/>
    <w:rsid w:val="00503D5E"/>
    <w:rsid w:val="005E57D8"/>
    <w:rsid w:val="006601B2"/>
    <w:rsid w:val="006D1FC3"/>
    <w:rsid w:val="007A1C3E"/>
    <w:rsid w:val="00815530"/>
    <w:rsid w:val="008175FC"/>
    <w:rsid w:val="008B6A2F"/>
    <w:rsid w:val="00943E0E"/>
    <w:rsid w:val="009470EB"/>
    <w:rsid w:val="00974FA2"/>
    <w:rsid w:val="009E2E14"/>
    <w:rsid w:val="00A56DEF"/>
    <w:rsid w:val="00A71353"/>
    <w:rsid w:val="00AF4E66"/>
    <w:rsid w:val="00B33D2E"/>
    <w:rsid w:val="00BC23FA"/>
    <w:rsid w:val="00BF04DF"/>
    <w:rsid w:val="00CB7A28"/>
    <w:rsid w:val="00E30EB4"/>
    <w:rsid w:val="00EA1FD5"/>
    <w:rsid w:val="00EF4628"/>
    <w:rsid w:val="00F4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FA21"/>
  <w15:chartTrackingRefBased/>
  <w15:docId w15:val="{0E592963-C989-4D54-A2DA-B3F35A59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3FA"/>
    <w:rPr>
      <w:kern w:val="0"/>
    </w:rPr>
  </w:style>
  <w:style w:type="paragraph" w:styleId="Ttulo1">
    <w:name w:val="heading 1"/>
    <w:basedOn w:val="Normal"/>
    <w:next w:val="Normal"/>
    <w:link w:val="Ttulo1Car"/>
    <w:uiPriority w:val="9"/>
    <w:qFormat/>
    <w:rsid w:val="00BC23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23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C23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C23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23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23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23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23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23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23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C23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23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23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23F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23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23F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23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23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C23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C23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23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C23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C23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C23F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C23F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C23F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23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23F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C23F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C23FA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C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23FA"/>
    <w:rPr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BC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3FA"/>
    <w:rPr>
      <w:kern w:val="0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3FA"/>
    <w:rPr>
      <w:color w:val="96607D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2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cima.aemps.es/cima/dochtml/ft/1211612002/FT_1211612002.html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7c963e-636c-401c-8b09-1011ded18f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EBC73811BD146B68A22B35CFC502F" ma:contentTypeVersion="5" ma:contentTypeDescription="Create a new document." ma:contentTypeScope="" ma:versionID="741db5c8b4f972d21d4cfe4051d8f1e7">
  <xsd:schema xmlns:xsd="http://www.w3.org/2001/XMLSchema" xmlns:xs="http://www.w3.org/2001/XMLSchema" xmlns:p="http://schemas.microsoft.com/office/2006/metadata/properties" xmlns:ns3="a47c963e-636c-401c-8b09-1011ded18ffb" targetNamespace="http://schemas.microsoft.com/office/2006/metadata/properties" ma:root="true" ma:fieldsID="99140517136a6ab0a0d8614e0f9b59f4" ns3:_="">
    <xsd:import namespace="a47c963e-636c-401c-8b09-1011ded18f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c963e-636c-401c-8b09-1011ded18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87E61B-305D-4379-96E0-C1B7751276E2}">
  <ds:schemaRefs>
    <ds:schemaRef ds:uri="http://purl.org/dc/terms/"/>
    <ds:schemaRef ds:uri="a47c963e-636c-401c-8b09-1011ded18ffb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78082A0-6203-481B-994E-854A40DDF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00CEE-F68D-4913-BC85-A38CA730F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c963e-636c-401c-8b09-1011ded18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571</Words>
  <Characters>3142</Characters>
  <Application>Microsoft Office Word</Application>
  <DocSecurity>0</DocSecurity>
  <Lines>26</Lines>
  <Paragraphs>7</Paragraphs>
  <ScaleCrop>false</ScaleCrop>
  <Company>Junta de Castilla y León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Jesús Rodríguez Recio</dc:creator>
  <cp:keywords/>
  <dc:description/>
  <cp:lastModifiedBy>María Jesús Rodríguez Recio</cp:lastModifiedBy>
  <cp:revision>5</cp:revision>
  <cp:lastPrinted>2024-04-10T09:15:00Z</cp:lastPrinted>
  <dcterms:created xsi:type="dcterms:W3CDTF">2024-04-04T20:08:00Z</dcterms:created>
  <dcterms:modified xsi:type="dcterms:W3CDTF">2024-04-10T09:15:00Z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0x0101006E1EBC73811BD146B68A22B35CFC502F</vt:lpwstr>
  </property>
</Properties>
</file>